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R4-2311507</w:t>
      </w:r>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highlight w:val="none"/>
          <w:lang w:val="pt-BR"/>
        </w:rPr>
      </w:pPr>
      <w:r>
        <w:rPr>
          <w:rFonts w:hint="eastAsia" w:ascii="Arial" w:hAnsi="Arial" w:cs="Arial"/>
          <w:b/>
          <w:sz w:val="24"/>
          <w:szCs w:val="24"/>
        </w:rPr>
        <w:t xml:space="preserve">Toulouse, France, </w:t>
      </w:r>
      <w:r>
        <w:rPr>
          <w:rFonts w:hint="eastAsia" w:ascii="Arial" w:hAnsi="Arial" w:cs="Arial"/>
          <w:b/>
          <w:sz w:val="24"/>
          <w:szCs w:val="24"/>
          <w:lang w:val="en-US" w:eastAsia="zh-CN"/>
        </w:rPr>
        <w:t>Aug</w:t>
      </w:r>
      <w:r>
        <w:rPr>
          <w:rFonts w:hint="eastAsia" w:ascii="Arial" w:hAnsi="Arial" w:cs="Arial"/>
          <w:b/>
          <w:sz w:val="24"/>
          <w:szCs w:val="24"/>
        </w:rPr>
        <w:t xml:space="preserve"> 2</w:t>
      </w:r>
      <w:r>
        <w:rPr>
          <w:rFonts w:hint="eastAsia" w:ascii="Arial" w:hAnsi="Arial" w:cs="Arial"/>
          <w:b/>
          <w:sz w:val="24"/>
          <w:szCs w:val="24"/>
          <w:lang w:val="en-US" w:eastAsia="zh-CN"/>
        </w:rPr>
        <w:t>1</w:t>
      </w:r>
      <w:r>
        <w:rPr>
          <w:rFonts w:hint="eastAsia" w:ascii="Arial" w:hAnsi="Arial" w:cs="Arial"/>
          <w:b/>
          <w:sz w:val="24"/>
          <w:szCs w:val="24"/>
        </w:rPr>
        <w:t xml:space="preserve"> – </w:t>
      </w:r>
      <w:r>
        <w:rPr>
          <w:rFonts w:hint="eastAsia" w:ascii="Arial" w:hAnsi="Arial" w:cs="Arial"/>
          <w:b/>
          <w:sz w:val="24"/>
          <w:szCs w:val="24"/>
          <w:lang w:val="en-US" w:eastAsia="zh-CN"/>
        </w:rPr>
        <w:t>Aug</w:t>
      </w:r>
      <w:r>
        <w:rPr>
          <w:rFonts w:hint="eastAsia" w:ascii="Arial" w:hAnsi="Arial" w:cs="Arial"/>
          <w:b/>
          <w:sz w:val="24"/>
          <w:szCs w:val="24"/>
        </w:rPr>
        <w:t xml:space="preserve"> 2</w:t>
      </w:r>
      <w:r>
        <w:rPr>
          <w:rFonts w:hint="eastAsia" w:ascii="Arial" w:hAnsi="Arial" w:cs="Arial"/>
          <w:b/>
          <w:sz w:val="24"/>
          <w:szCs w:val="24"/>
          <w:lang w:val="en-US" w:eastAsia="zh-CN"/>
        </w:rPr>
        <w:t>5</w:t>
      </w:r>
      <w:r>
        <w:rPr>
          <w:rFonts w:hint="eastAsia" w:ascii="Arial" w:hAnsi="Arial" w:cs="Arial"/>
          <w:b/>
          <w:sz w:val="24"/>
          <w:szCs w:val="24"/>
        </w:rPr>
        <w:t>, 2023</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rPr>
        <w:t xml:space="preserve"> </w:t>
      </w:r>
      <w:r>
        <w:rPr>
          <w:rFonts w:hint="eastAsia" w:ascii="Arial" w:hAnsi="Arial"/>
          <w:b/>
          <w:sz w:val="24"/>
          <w:lang w:val="en-US" w:eastAsia="zh-CN"/>
        </w:rPr>
        <w:t>8Rx demodulation requirements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8.4.3.1.2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val="0"/>
        <w:keepLines w:val="0"/>
        <w:pageBreakBefore w:val="0"/>
        <w:widowControl w:val="0"/>
        <w:numPr>
          <w:ilvl w:val="0"/>
          <w:numId w:val="0"/>
        </w:numPr>
        <w:kinsoku/>
        <w:wordWrap/>
        <w:topLinePunct w:val="0"/>
        <w:bidi w:val="0"/>
        <w:spacing w:after="0"/>
        <w:rPr>
          <w:rFonts w:hint="eastAsia" w:cs="Times New Roman"/>
          <w:kern w:val="2"/>
          <w:sz w:val="21"/>
          <w:szCs w:val="22"/>
          <w:highlight w:val="none"/>
          <w:lang w:val="en-US" w:eastAsia="zh-CN" w:bidi="ar-SA"/>
        </w:rPr>
      </w:pPr>
      <w:r>
        <w:rPr>
          <w:rFonts w:hint="eastAsia"/>
          <w:lang w:val="en-US" w:eastAsia="zh-CN"/>
        </w:rPr>
        <w:t>In RAN4#107 meeting, 8Rx UE demodulation and CSI requirements were discussed and a WF was agreed[1]. In this paper, we will provide the detailed discussions on 8 Rx PDSCH for FR1.</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keepNext w:val="0"/>
        <w:keepLines w:val="0"/>
        <w:pageBreakBefore w:val="0"/>
        <w:widowControl w:val="0"/>
        <w:numPr>
          <w:ilvl w:val="0"/>
          <w:numId w:val="0"/>
        </w:numPr>
        <w:kinsoku/>
        <w:wordWrap/>
        <w:topLinePunct w:val="0"/>
        <w:bidi w:val="0"/>
        <w:spacing w:after="0"/>
        <w:rPr>
          <w:rFonts w:hint="default"/>
          <w:lang w:val="en-US" w:eastAsia="zh-CN"/>
        </w:rPr>
      </w:pPr>
      <w:r>
        <w:rPr>
          <w:rFonts w:hint="eastAsia"/>
          <w:lang w:val="en-US" w:eastAsia="zh-CN"/>
        </w:rPr>
        <w:t>According to RAN4#107 meeting WF[1] and email discussions, same MCS levels and propagation environments can be reused for FDD band and so on. Based on the previous simulation assumptions, we provide our simulation results in [2] for single CC FDD and TDD.</w:t>
      </w:r>
    </w:p>
    <w:p>
      <w:pPr>
        <w:keepNext w:val="0"/>
        <w:keepLines w:val="0"/>
        <w:pageBreakBefore w:val="0"/>
        <w:widowControl w:val="0"/>
        <w:numPr>
          <w:ilvl w:val="0"/>
          <w:numId w:val="0"/>
        </w:numPr>
        <w:kinsoku/>
        <w:wordWrap/>
        <w:topLinePunct w:val="0"/>
        <w:bidi w:val="0"/>
        <w:spacing w:after="0"/>
        <w:rPr>
          <w:rFonts w:hint="eastAsia"/>
          <w:lang w:val="en-US" w:eastAsia="zh-CN"/>
        </w:rPr>
      </w:pPr>
      <w:r>
        <w:rPr>
          <w:rFonts w:hint="eastAsia"/>
          <w:lang w:val="en-US" w:eastAsia="zh-CN"/>
        </w:rPr>
        <w:t>In RAN#100 meeting, a revised WID[3] on further RF requirements enhancement for NR and EN-DC in FR1 was approved, where for FR1 PDSCH 8Rx , the objective for demodulation is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20"/>
              <w:textAlignment w:val="baseline"/>
              <w:rPr>
                <w:rFonts w:hint="default"/>
                <w:lang w:val="en-US" w:eastAsia="zh-CN"/>
              </w:rPr>
            </w:pPr>
            <w:r>
              <w:rPr>
                <w:b/>
              </w:rPr>
              <w:t xml:space="preserve">Enable </w:t>
            </w:r>
            <w:r>
              <w:rPr>
                <w:b/>
                <w:lang w:val="en-US" w:eastAsia="zh-CN"/>
              </w:rPr>
              <w:t>8Rx</w:t>
            </w:r>
            <w:r>
              <w:rPr>
                <w:b/>
              </w:rPr>
              <w:t xml:space="preserve"> for CPE/FWA/vehicle/industrial devices </w:t>
            </w:r>
            <w:r>
              <w:rPr>
                <w:b/>
                <w:lang w:val="en-US" w:eastAsia="zh-CN"/>
              </w:rPr>
              <w:t>[</w:t>
            </w:r>
            <w:r>
              <w:rPr>
                <w:rFonts w:hint="eastAsia"/>
                <w:b/>
                <w:lang w:val="en-US" w:eastAsia="zh-CN"/>
              </w:rPr>
              <w:t>RAN4</w:t>
            </w:r>
            <w:r>
              <w:rPr>
                <w:b/>
                <w:lang w:val="en-US" w:eastAsia="zh-CN"/>
              </w:rPr>
              <w:t>]</w:t>
            </w:r>
          </w:p>
          <w:p>
            <w:pPr>
              <w:numPr>
                <w:ilvl w:val="0"/>
                <w:numId w:val="7"/>
              </w:numPr>
              <w:overflowPunct w:val="0"/>
              <w:autoSpaceDE w:val="0"/>
              <w:autoSpaceDN w:val="0"/>
              <w:adjustRightInd w:val="0"/>
              <w:spacing w:after="0"/>
              <w:ind w:hanging="357"/>
              <w:textAlignment w:val="baseline"/>
              <w:rPr>
                <w:rFonts w:hint="eastAsia"/>
                <w:vertAlign w:val="baseline"/>
                <w:lang w:val="en-US" w:eastAsia="zh-CN"/>
              </w:rPr>
            </w:pPr>
            <w:r>
              <w:rPr>
                <w:lang w:val="en-US" w:eastAsia="zh-CN"/>
              </w:rPr>
              <w:t>Specify the UE RF requirements to support 8Rx for both single carrier and CA/DC. Example band combos and configurations need to be defined.</w:t>
            </w:r>
          </w:p>
        </w:tc>
      </w:tr>
    </w:tbl>
    <w:p>
      <w:pPr>
        <w:keepNext w:val="0"/>
        <w:keepLines w:val="0"/>
        <w:pageBreakBefore w:val="0"/>
        <w:widowControl w:val="0"/>
        <w:numPr>
          <w:ilvl w:val="0"/>
          <w:numId w:val="0"/>
        </w:numPr>
        <w:kinsoku/>
        <w:wordWrap/>
        <w:topLinePunct w:val="0"/>
        <w:bidi w:val="0"/>
        <w:spacing w:after="0"/>
        <w:rPr>
          <w:rFonts w:hint="eastAsia"/>
          <w:lang w:val="en-US" w:eastAsia="zh-CN"/>
        </w:rPr>
      </w:pPr>
      <w:r>
        <w:rPr>
          <w:rFonts w:hint="eastAsia"/>
          <w:lang w:val="en-US" w:eastAsia="zh-CN"/>
        </w:rPr>
        <w:t xml:space="preserve">Regarding the demodulation requirements for 8Rx, firstly ,we need to define bandwidths for 8Rx CA. For 2Rx and 4Rx CA requirements, which covered all defined channel bandwidths for 15kHz and 30kHz in TS 38.101-4. </w:t>
      </w:r>
    </w:p>
    <w:p>
      <w:pPr>
        <w:keepNext w:val="0"/>
        <w:keepLines w:val="0"/>
        <w:pageBreakBefore w:val="0"/>
        <w:widowControl w:val="0"/>
        <w:numPr>
          <w:ilvl w:val="0"/>
          <w:numId w:val="0"/>
        </w:numPr>
        <w:kinsoku/>
        <w:wordWrap/>
        <w:topLinePunct w:val="0"/>
        <w:bidi w:val="0"/>
        <w:spacing w:after="0"/>
        <w:rPr>
          <w:rFonts w:hint="default"/>
          <w:lang w:val="en-US" w:eastAsia="zh-CN"/>
        </w:rPr>
      </w:pPr>
      <w:r>
        <w:rPr>
          <w:rFonts w:hint="eastAsia"/>
          <w:lang w:val="en-US" w:eastAsia="zh-CN"/>
        </w:rPr>
        <w:t>And for 8Rx CA requirements, we need to consider all possible channel bandwidths for 15kHz and 30kHz which defined for n41, n77/n78, n79 and n7 bands.</w:t>
      </w:r>
    </w:p>
    <w:p>
      <w:pPr>
        <w:keepNext w:val="0"/>
        <w:keepLines w:val="0"/>
        <w:pageBreakBefore w:val="0"/>
        <w:widowControl w:val="0"/>
        <w:numPr>
          <w:ilvl w:val="0"/>
          <w:numId w:val="0"/>
        </w:numPr>
        <w:kinsoku/>
        <w:wordWrap/>
        <w:topLinePunct w:val="0"/>
        <w:bidi w:val="0"/>
        <w:spacing w:after="0"/>
        <w:rPr>
          <w:rFonts w:hint="default"/>
          <w:lang w:val="en-US" w:eastAsia="zh-CN"/>
        </w:rPr>
      </w:pPr>
      <w:r>
        <w:rPr>
          <w:rFonts w:hint="eastAsia"/>
          <w:lang w:val="en-US" w:eastAsia="zh-CN"/>
        </w:rPr>
        <w:t>Also for CA duplex model, 8Rx needs to cover TDD bands(n41, n77/ n78, n79) and FDD band(n7). Hence, the following combinations could be considered for 8Rx CA.</w:t>
      </w:r>
    </w:p>
    <w:p>
      <w:pPr>
        <w:keepNext w:val="0"/>
        <w:keepLines w:val="0"/>
        <w:pageBreakBefore w:val="0"/>
        <w:widowControl w:val="0"/>
        <w:numPr>
          <w:ilvl w:val="0"/>
          <w:numId w:val="8"/>
        </w:numPr>
        <w:kinsoku/>
        <w:wordWrap/>
        <w:topLinePunct w:val="0"/>
        <w:bidi w:val="0"/>
        <w:spacing w:after="0"/>
        <w:ind w:left="420" w:leftChars="0" w:hanging="420" w:firstLineChars="0"/>
        <w:rPr>
          <w:rFonts w:hint="default"/>
          <w:lang w:val="en-US" w:eastAsia="zh-CN"/>
        </w:rPr>
      </w:pPr>
      <w:r>
        <w:rPr>
          <w:rFonts w:hint="eastAsia"/>
          <w:lang w:val="en-US" w:eastAsia="zh-CN"/>
        </w:rPr>
        <w:t>FDD 15kHz + TDD 30kHz</w:t>
      </w:r>
    </w:p>
    <w:p>
      <w:pPr>
        <w:keepNext w:val="0"/>
        <w:keepLines w:val="0"/>
        <w:pageBreakBefore w:val="0"/>
        <w:widowControl w:val="0"/>
        <w:numPr>
          <w:ilvl w:val="0"/>
          <w:numId w:val="8"/>
        </w:numPr>
        <w:kinsoku/>
        <w:wordWrap/>
        <w:topLinePunct w:val="0"/>
        <w:bidi w:val="0"/>
        <w:spacing w:after="0"/>
        <w:ind w:left="420" w:leftChars="0" w:hanging="420" w:firstLineChars="0"/>
        <w:rPr>
          <w:rFonts w:hint="default"/>
          <w:lang w:val="en-US" w:eastAsia="zh-CN"/>
        </w:rPr>
      </w:pPr>
      <w:r>
        <w:rPr>
          <w:rFonts w:hint="eastAsia"/>
          <w:lang w:val="en-US" w:eastAsia="zh-CN"/>
        </w:rPr>
        <w:t>FDD 15kHz + FDD 15kHz</w:t>
      </w:r>
    </w:p>
    <w:p>
      <w:pPr>
        <w:keepNext w:val="0"/>
        <w:keepLines w:val="0"/>
        <w:pageBreakBefore w:val="0"/>
        <w:widowControl w:val="0"/>
        <w:numPr>
          <w:ilvl w:val="0"/>
          <w:numId w:val="8"/>
        </w:numPr>
        <w:kinsoku/>
        <w:wordWrap/>
        <w:topLinePunct w:val="0"/>
        <w:bidi w:val="0"/>
        <w:spacing w:after="0"/>
        <w:ind w:left="420" w:leftChars="0" w:hanging="420" w:firstLineChars="0"/>
        <w:rPr>
          <w:rFonts w:hint="default"/>
          <w:lang w:val="en-US" w:eastAsia="zh-CN"/>
        </w:rPr>
      </w:pPr>
      <w:r>
        <w:rPr>
          <w:rFonts w:hint="eastAsia"/>
          <w:lang w:val="en-US" w:eastAsia="zh-CN"/>
        </w:rPr>
        <w:t>TDD 30kHz + TDD 30kHz</w:t>
      </w:r>
    </w:p>
    <w:p>
      <w:pPr>
        <w:widowControl w:val="0"/>
        <w:spacing w:beforeLines="100" w:afterLines="0" w:line="240" w:lineRule="auto"/>
        <w:jc w:val="both"/>
        <w:rPr>
          <w:rFonts w:hint="default"/>
          <w:b/>
          <w:bCs/>
          <w:i/>
          <w:iCs/>
          <w:sz w:val="21"/>
          <w:szCs w:val="21"/>
          <w:lang w:val="en-US" w:eastAsia="zh-CN"/>
        </w:rPr>
      </w:pPr>
      <w:r>
        <w:rPr>
          <w:rFonts w:hint="eastAsia"/>
          <w:b/>
          <w:bCs/>
          <w:i/>
          <w:iCs/>
          <w:sz w:val="21"/>
          <w:szCs w:val="21"/>
        </w:rPr>
        <w:t xml:space="preserve">Proposal </w:t>
      </w:r>
      <w:r>
        <w:rPr>
          <w:rFonts w:hint="eastAsia"/>
          <w:b/>
          <w:bCs/>
          <w:i/>
          <w:iCs/>
          <w:sz w:val="21"/>
          <w:szCs w:val="21"/>
          <w:lang w:val="en-US" w:eastAsia="zh-CN"/>
        </w:rPr>
        <w:t>1. To consider the following duplex model for 8Rx CA:</w:t>
      </w:r>
    </w:p>
    <w:p>
      <w:pPr>
        <w:widowControl w:val="0"/>
        <w:numPr>
          <w:ilvl w:val="0"/>
          <w:numId w:val="8"/>
        </w:numPr>
        <w:spacing w:beforeLines="100" w:afterLines="0" w:line="240" w:lineRule="auto"/>
        <w:ind w:left="420" w:leftChars="0" w:firstLine="0" w:firstLineChars="0"/>
        <w:jc w:val="both"/>
        <w:rPr>
          <w:rFonts w:hint="default"/>
          <w:b/>
          <w:bCs/>
          <w:i/>
          <w:iCs/>
          <w:sz w:val="21"/>
          <w:szCs w:val="21"/>
          <w:highlight w:val="none"/>
          <w:lang w:val="en-US" w:eastAsia="zh-CN"/>
        </w:rPr>
      </w:pPr>
      <w:r>
        <w:rPr>
          <w:rFonts w:hint="eastAsia"/>
          <w:b/>
          <w:bCs/>
          <w:i/>
          <w:iCs/>
          <w:sz w:val="21"/>
          <w:szCs w:val="21"/>
          <w:highlight w:val="none"/>
          <w:lang w:val="en-US" w:eastAsia="zh-CN"/>
        </w:rPr>
        <w:t>FDD 15kHz + TDD 30kHz</w:t>
      </w:r>
    </w:p>
    <w:p>
      <w:pPr>
        <w:widowControl w:val="0"/>
        <w:numPr>
          <w:ilvl w:val="0"/>
          <w:numId w:val="8"/>
        </w:numPr>
        <w:spacing w:beforeLines="100" w:afterLines="0" w:line="240" w:lineRule="auto"/>
        <w:ind w:left="420" w:leftChars="0" w:firstLine="0" w:firstLineChars="0"/>
        <w:jc w:val="both"/>
        <w:rPr>
          <w:rFonts w:hint="default"/>
          <w:b/>
          <w:bCs/>
          <w:i/>
          <w:iCs/>
          <w:sz w:val="21"/>
          <w:szCs w:val="21"/>
          <w:lang w:val="en-US" w:eastAsia="zh-CN"/>
        </w:rPr>
      </w:pPr>
      <w:r>
        <w:rPr>
          <w:rFonts w:hint="eastAsia"/>
          <w:b/>
          <w:bCs/>
          <w:i/>
          <w:iCs/>
          <w:sz w:val="21"/>
          <w:szCs w:val="21"/>
          <w:lang w:val="en-US" w:eastAsia="zh-CN"/>
        </w:rPr>
        <w:t>FDD 15kHz + FDD 15kHz</w:t>
      </w:r>
    </w:p>
    <w:p>
      <w:pPr>
        <w:widowControl w:val="0"/>
        <w:numPr>
          <w:ilvl w:val="0"/>
          <w:numId w:val="8"/>
        </w:numPr>
        <w:spacing w:beforeLines="100" w:afterLines="0" w:line="240" w:lineRule="auto"/>
        <w:ind w:left="420" w:leftChars="0" w:firstLine="0" w:firstLineChars="0"/>
        <w:jc w:val="both"/>
        <w:rPr>
          <w:rFonts w:hint="default"/>
          <w:b/>
          <w:bCs/>
          <w:i/>
          <w:iCs/>
          <w:sz w:val="21"/>
          <w:szCs w:val="21"/>
          <w:lang w:val="en-US" w:eastAsia="zh-CN"/>
        </w:rPr>
      </w:pPr>
      <w:r>
        <w:rPr>
          <w:rFonts w:hint="eastAsia"/>
          <w:b/>
          <w:bCs/>
          <w:i/>
          <w:iCs/>
          <w:sz w:val="21"/>
          <w:szCs w:val="21"/>
          <w:lang w:val="en-US" w:eastAsia="zh-CN"/>
        </w:rPr>
        <w:t>TDD 30kHz + TDD 30kHz</w:t>
      </w:r>
    </w:p>
    <w:p>
      <w:pPr>
        <w:keepNext w:val="0"/>
        <w:keepLines w:val="0"/>
        <w:pageBreakBefore w:val="0"/>
        <w:widowControl w:val="0"/>
        <w:numPr>
          <w:ilvl w:val="0"/>
          <w:numId w:val="0"/>
        </w:numPr>
        <w:kinsoku/>
        <w:wordWrap/>
        <w:topLinePunct w:val="0"/>
        <w:bidi w:val="0"/>
        <w:spacing w:after="0"/>
        <w:ind w:leftChars="0"/>
        <w:rPr>
          <w:rFonts w:hint="default"/>
          <w:lang w:val="en-US" w:eastAsia="zh-CN"/>
        </w:rPr>
      </w:pPr>
    </w:p>
    <w:p>
      <w:pPr>
        <w:keepNext w:val="0"/>
        <w:keepLines w:val="0"/>
        <w:pageBreakBefore w:val="0"/>
        <w:widowControl w:val="0"/>
        <w:numPr>
          <w:ilvl w:val="0"/>
          <w:numId w:val="0"/>
        </w:numPr>
        <w:kinsoku/>
        <w:wordWrap/>
        <w:topLinePunct w:val="0"/>
        <w:bidi w:val="0"/>
        <w:spacing w:after="0"/>
        <w:ind w:leftChars="0"/>
        <w:rPr>
          <w:rFonts w:hint="default"/>
          <w:lang w:val="en-US" w:eastAsia="zh-CN"/>
        </w:rPr>
      </w:pPr>
      <w:r>
        <w:rPr>
          <w:rFonts w:hint="eastAsia"/>
          <w:lang w:val="en-US" w:eastAsia="zh-CN"/>
        </w:rPr>
        <w:t>Considering we have already done a lot of simulation work for MCS and layer, so we prefer define MCS 13(Table 1) and MCS17(Table 1) with 8 layers for PDSCH 8Rx CA. Also, the simulation results can be seen in [2].</w:t>
      </w:r>
    </w:p>
    <w:p>
      <w:pPr>
        <w:keepNext w:val="0"/>
        <w:keepLines w:val="0"/>
        <w:pageBreakBefore w:val="0"/>
        <w:widowControl w:val="0"/>
        <w:numPr>
          <w:ilvl w:val="0"/>
          <w:numId w:val="0"/>
        </w:numPr>
        <w:kinsoku/>
        <w:wordWrap/>
        <w:topLinePunct w:val="0"/>
        <w:bidi w:val="0"/>
        <w:spacing w:beforeLines="50" w:after="0" w:afterLines="50" w:line="259" w:lineRule="auto"/>
        <w:jc w:val="both"/>
        <w:rPr>
          <w:rFonts w:hint="default"/>
          <w:lang w:val="en-US" w:eastAsia="zh-CN"/>
        </w:rPr>
      </w:pPr>
      <w:r>
        <w:rPr>
          <w:rFonts w:hint="eastAsia"/>
          <w:b/>
          <w:bCs/>
          <w:i/>
          <w:iCs/>
          <w:sz w:val="21"/>
          <w:szCs w:val="21"/>
        </w:rPr>
        <w:t xml:space="preserve">Proposal </w:t>
      </w:r>
      <w:r>
        <w:rPr>
          <w:rFonts w:hint="eastAsia"/>
          <w:b/>
          <w:bCs/>
          <w:i/>
          <w:iCs/>
          <w:sz w:val="21"/>
          <w:szCs w:val="21"/>
          <w:lang w:val="en-US" w:eastAsia="zh-CN"/>
        </w:rPr>
        <w:t>2. To consider MCS 13(Table 1) and MCS 17 (Table 2)with 8 layers for 8Rx CA.</w:t>
      </w:r>
    </w:p>
    <w:p>
      <w:pPr>
        <w:widowControl w:val="0"/>
        <w:spacing w:beforeLines="100" w:afterLines="0" w:line="240" w:lineRule="auto"/>
        <w:jc w:val="left"/>
        <w:rPr>
          <w:rFonts w:hint="eastAsia"/>
          <w:b/>
          <w:bCs/>
          <w:i/>
          <w:iCs/>
          <w:sz w:val="21"/>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jc w:val="both"/>
        <w:rPr>
          <w:rFonts w:hint="eastAsia"/>
          <w:bCs/>
          <w:kern w:val="0"/>
          <w:szCs w:val="21"/>
        </w:rPr>
      </w:pPr>
      <w:r>
        <w:rPr>
          <w:kern w:val="0"/>
          <w:sz w:val="20"/>
        </w:rPr>
        <w:t xml:space="preserve">In this contribution, </w:t>
      </w:r>
      <w:r>
        <w:rPr>
          <w:rFonts w:hint="eastAsia"/>
          <w:bCs/>
          <w:kern w:val="0"/>
          <w:szCs w:val="21"/>
        </w:rPr>
        <w:t>we give some discussions on demodulation performance requirements for</w:t>
      </w:r>
      <w:r>
        <w:rPr>
          <w:rFonts w:hint="eastAsia"/>
          <w:bCs/>
          <w:kern w:val="0"/>
          <w:szCs w:val="21"/>
          <w:lang w:val="en-US" w:eastAsia="zh-CN"/>
        </w:rPr>
        <w:t xml:space="preserve"> 8Rx </w:t>
      </w:r>
      <w:r>
        <w:rPr>
          <w:rFonts w:hint="eastAsia"/>
          <w:bCs/>
          <w:kern w:val="0"/>
          <w:szCs w:val="21"/>
        </w:rPr>
        <w:t>, The conclusions are:</w:t>
      </w:r>
    </w:p>
    <w:p>
      <w:pPr>
        <w:widowControl w:val="0"/>
        <w:spacing w:beforeLines="100" w:afterLines="0" w:line="240" w:lineRule="auto"/>
        <w:jc w:val="both"/>
        <w:rPr>
          <w:rFonts w:hint="default"/>
          <w:b/>
          <w:bCs/>
          <w:i/>
          <w:iCs/>
          <w:sz w:val="21"/>
          <w:szCs w:val="21"/>
          <w:lang w:val="en-US" w:eastAsia="zh-CN"/>
        </w:rPr>
      </w:pPr>
      <w:r>
        <w:rPr>
          <w:rFonts w:hint="eastAsia"/>
          <w:b/>
          <w:bCs/>
          <w:i/>
          <w:iCs/>
          <w:sz w:val="21"/>
          <w:szCs w:val="21"/>
        </w:rPr>
        <w:t xml:space="preserve">Proposal </w:t>
      </w:r>
      <w:r>
        <w:rPr>
          <w:rFonts w:hint="eastAsia"/>
          <w:b/>
          <w:bCs/>
          <w:i/>
          <w:iCs/>
          <w:sz w:val="21"/>
          <w:szCs w:val="21"/>
          <w:lang w:val="en-US" w:eastAsia="zh-CN"/>
        </w:rPr>
        <w:t>1. To consider the following duplex model for 8Rx CA:</w:t>
      </w:r>
    </w:p>
    <w:p>
      <w:pPr>
        <w:widowControl w:val="0"/>
        <w:numPr>
          <w:ilvl w:val="0"/>
          <w:numId w:val="8"/>
        </w:numPr>
        <w:spacing w:beforeLines="100" w:afterLines="0" w:line="240" w:lineRule="auto"/>
        <w:ind w:left="420" w:leftChars="0" w:firstLine="0" w:firstLineChars="0"/>
        <w:jc w:val="both"/>
        <w:rPr>
          <w:rFonts w:hint="default"/>
          <w:b/>
          <w:bCs/>
          <w:i/>
          <w:iCs/>
          <w:sz w:val="21"/>
          <w:szCs w:val="21"/>
          <w:lang w:val="en-US" w:eastAsia="zh-CN"/>
        </w:rPr>
      </w:pPr>
      <w:r>
        <w:rPr>
          <w:rFonts w:hint="eastAsia"/>
          <w:b/>
          <w:bCs/>
          <w:i/>
          <w:iCs/>
          <w:sz w:val="21"/>
          <w:szCs w:val="21"/>
          <w:lang w:val="en-US" w:eastAsia="zh-CN"/>
        </w:rPr>
        <w:t>FDD 15kHz + TDD 30kHz</w:t>
      </w:r>
    </w:p>
    <w:p>
      <w:pPr>
        <w:widowControl w:val="0"/>
        <w:numPr>
          <w:ilvl w:val="0"/>
          <w:numId w:val="8"/>
        </w:numPr>
        <w:spacing w:beforeLines="100" w:afterLines="0" w:line="240" w:lineRule="auto"/>
        <w:ind w:left="420" w:leftChars="0" w:firstLine="0" w:firstLineChars="0"/>
        <w:jc w:val="both"/>
        <w:rPr>
          <w:rFonts w:hint="default"/>
          <w:b/>
          <w:bCs/>
          <w:i/>
          <w:iCs/>
          <w:sz w:val="21"/>
          <w:szCs w:val="21"/>
          <w:lang w:val="en-US" w:eastAsia="zh-CN"/>
        </w:rPr>
      </w:pPr>
      <w:r>
        <w:rPr>
          <w:rFonts w:hint="eastAsia"/>
          <w:b/>
          <w:bCs/>
          <w:i/>
          <w:iCs/>
          <w:sz w:val="21"/>
          <w:szCs w:val="21"/>
          <w:lang w:val="en-US" w:eastAsia="zh-CN"/>
        </w:rPr>
        <w:t>FDD 15kHz + FDD 15kHz</w:t>
      </w:r>
    </w:p>
    <w:p>
      <w:pPr>
        <w:widowControl w:val="0"/>
        <w:numPr>
          <w:ilvl w:val="0"/>
          <w:numId w:val="8"/>
        </w:numPr>
        <w:spacing w:beforeLines="100" w:afterLines="0" w:line="240" w:lineRule="auto"/>
        <w:ind w:left="420" w:leftChars="0" w:firstLine="0" w:firstLineChars="0"/>
        <w:jc w:val="both"/>
        <w:rPr>
          <w:rFonts w:hint="default"/>
          <w:b/>
          <w:bCs/>
          <w:i/>
          <w:iCs/>
          <w:sz w:val="21"/>
          <w:szCs w:val="21"/>
          <w:lang w:val="en-US" w:eastAsia="zh-CN"/>
        </w:rPr>
      </w:pPr>
      <w:r>
        <w:rPr>
          <w:rFonts w:hint="eastAsia"/>
          <w:b/>
          <w:bCs/>
          <w:i/>
          <w:iCs/>
          <w:sz w:val="21"/>
          <w:szCs w:val="21"/>
          <w:lang w:val="en-US" w:eastAsia="zh-CN"/>
        </w:rPr>
        <w:t>TDD 30kHz + TDD 30kHz</w:t>
      </w:r>
    </w:p>
    <w:p>
      <w:pPr>
        <w:keepNext w:val="0"/>
        <w:keepLines w:val="0"/>
        <w:pageBreakBefore w:val="0"/>
        <w:widowControl w:val="0"/>
        <w:numPr>
          <w:ilvl w:val="0"/>
          <w:numId w:val="0"/>
        </w:numPr>
        <w:kinsoku/>
        <w:wordWrap/>
        <w:topLinePunct w:val="0"/>
        <w:bidi w:val="0"/>
        <w:spacing w:beforeLines="50" w:after="0" w:afterLines="50" w:line="259" w:lineRule="auto"/>
        <w:jc w:val="both"/>
        <w:rPr>
          <w:rFonts w:hint="default" w:eastAsia="宋体"/>
          <w:lang w:val="en-US" w:eastAsia="zh-CN"/>
        </w:rPr>
      </w:pPr>
      <w:r>
        <w:rPr>
          <w:rFonts w:hint="eastAsia"/>
          <w:b/>
          <w:bCs/>
          <w:i/>
          <w:iCs/>
          <w:sz w:val="21"/>
          <w:szCs w:val="21"/>
        </w:rPr>
        <w:t xml:space="preserve">Proposal </w:t>
      </w:r>
      <w:r>
        <w:rPr>
          <w:rFonts w:hint="eastAsia"/>
          <w:b/>
          <w:bCs/>
          <w:i/>
          <w:iCs/>
          <w:sz w:val="21"/>
          <w:szCs w:val="21"/>
          <w:lang w:val="en-US" w:eastAsia="zh-CN"/>
        </w:rPr>
        <w:t>2. To consider MCS 13(Table 1) and MCS 17 (Table 2)with 8 layers for 8Rx CA.</w:t>
      </w:r>
    </w:p>
    <w:p>
      <w:pPr>
        <w:keepNext w:val="0"/>
        <w:keepLines w:val="0"/>
        <w:pageBreakBefore w:val="0"/>
        <w:widowControl w:val="0"/>
        <w:numPr>
          <w:ilvl w:val="0"/>
          <w:numId w:val="0"/>
        </w:numPr>
        <w:kinsoku/>
        <w:wordWrap/>
        <w:topLinePunct w:val="0"/>
        <w:bidi w:val="0"/>
        <w:spacing w:beforeLines="50" w:after="0" w:afterLines="50" w:line="259" w:lineRule="auto"/>
        <w:jc w:val="both"/>
        <w:rPr>
          <w:rFonts w:hint="default"/>
          <w:b/>
          <w:bCs/>
          <w:i/>
          <w:iCs/>
          <w:sz w:val="21"/>
          <w:szCs w:val="21"/>
          <w:lang w:val="en-US" w:eastAsia="zh-CN"/>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 xml:space="preserve">4 </w:t>
      </w:r>
      <w:r>
        <w:rPr>
          <w:rFonts w:hint="eastAsia"/>
          <w:b/>
          <w:kern w:val="0"/>
          <w:sz w:val="24"/>
          <w:szCs w:val="24"/>
        </w:rPr>
        <w:t>Reference</w:t>
      </w:r>
      <w:r>
        <w:rPr>
          <w:rFonts w:hint="eastAsia"/>
          <w:b/>
          <w:kern w:val="0"/>
          <w:sz w:val="24"/>
          <w:szCs w:val="24"/>
          <w:lang w:val="en-US" w:eastAsia="zh-CN"/>
        </w:rPr>
        <w:t>s</w:t>
      </w:r>
    </w:p>
    <w:p>
      <w:pPr>
        <w:widowControl w:val="0"/>
        <w:numPr>
          <w:ilvl w:val="0"/>
          <w:numId w:val="0"/>
        </w:numPr>
        <w:pBdr>
          <w:top w:val="single" w:color="auto" w:sz="12" w:space="3"/>
        </w:pBdr>
        <w:spacing w:beforeLines="0" w:afterLines="0"/>
        <w:jc w:val="left"/>
        <w:outlineLvl w:val="9"/>
        <w:rPr>
          <w:rFonts w:hint="eastAsia"/>
          <w:b/>
          <w:kern w:val="0"/>
          <w:sz w:val="24"/>
          <w:szCs w:val="24"/>
          <w:lang w:val="en-US" w:eastAsia="zh-CN"/>
        </w:rPr>
      </w:pPr>
    </w:p>
    <w:p>
      <w:pPr>
        <w:pStyle w:val="32"/>
        <w:numPr>
          <w:ilvl w:val="0"/>
          <w:numId w:val="9"/>
        </w:numPr>
        <w:spacing w:beforeLines="-2147483648" w:after="160" w:afterLines="-2147483648" w:line="259" w:lineRule="auto"/>
        <w:ind w:left="300" w:leftChars="0" w:right="-22"/>
        <w:jc w:val="left"/>
        <w:rPr>
          <w:rFonts w:ascii="Times New Roman" w:hAnsi="Times New Roman" w:eastAsiaTheme="minorHAnsi" w:cstheme="minorBidi"/>
          <w:kern w:val="0"/>
          <w:sz w:val="21"/>
          <w:szCs w:val="21"/>
          <w:lang w:eastAsia="en-US"/>
        </w:rPr>
      </w:pPr>
      <w:r>
        <w:rPr>
          <w:rFonts w:hint="eastAsia" w:ascii="Times New Roman" w:hAnsi="Times New Roman" w:eastAsiaTheme="minorHAnsi" w:cstheme="minorBidi"/>
          <w:kern w:val="0"/>
          <w:sz w:val="21"/>
          <w:szCs w:val="21"/>
          <w:lang w:eastAsia="en-US"/>
        </w:rPr>
        <w:t>R4-2309806, WF for 8Rx UE performance requirements. RAN4#107 meeting.</w:t>
      </w:r>
    </w:p>
    <w:p>
      <w:pPr>
        <w:pStyle w:val="32"/>
        <w:numPr>
          <w:ilvl w:val="0"/>
          <w:numId w:val="9"/>
        </w:numPr>
        <w:spacing w:beforeLines="-2147483648" w:after="160" w:afterLines="-2147483648" w:line="259" w:lineRule="auto"/>
        <w:ind w:left="300" w:leftChars="0" w:right="-22"/>
        <w:jc w:val="left"/>
        <w:rPr>
          <w:rFonts w:ascii="Times New Roman" w:hAnsi="Times New Roman" w:eastAsiaTheme="minorHAnsi" w:cstheme="minorBidi"/>
          <w:kern w:val="0"/>
          <w:sz w:val="21"/>
          <w:szCs w:val="21"/>
          <w:lang w:eastAsia="en-US"/>
        </w:rPr>
      </w:pPr>
      <w:r>
        <w:rPr>
          <w:rFonts w:hint="eastAsia" w:eastAsia="宋体" w:cstheme="minorBidi"/>
          <w:kern w:val="0"/>
          <w:sz w:val="21"/>
          <w:szCs w:val="21"/>
          <w:highlight w:val="none"/>
          <w:lang w:val="en-US" w:eastAsia="zh-CN"/>
        </w:rPr>
        <w:t xml:space="preserve">R4-2311508, </w:t>
      </w:r>
      <w:r>
        <w:rPr>
          <w:rFonts w:hint="eastAsia" w:eastAsia="宋体" w:cstheme="minorBidi"/>
          <w:kern w:val="0"/>
          <w:sz w:val="21"/>
          <w:szCs w:val="21"/>
          <w:lang w:val="en-US" w:eastAsia="zh-CN"/>
        </w:rPr>
        <w:t>Simulation results for PDSCH demodulation for 8Rx. ZTE Corporation.</w:t>
      </w:r>
    </w:p>
    <w:p>
      <w:pPr>
        <w:pStyle w:val="32"/>
        <w:numPr>
          <w:ilvl w:val="0"/>
          <w:numId w:val="9"/>
        </w:numPr>
        <w:spacing w:beforeLines="-2147483648" w:after="160" w:afterLines="-2147483648" w:line="259" w:lineRule="auto"/>
        <w:ind w:left="300" w:leftChars="0" w:right="-22"/>
        <w:jc w:val="left"/>
        <w:rPr>
          <w:rFonts w:ascii="Times New Roman" w:hAnsi="Times New Roman" w:eastAsiaTheme="minorHAnsi" w:cstheme="minorBidi"/>
          <w:kern w:val="0"/>
          <w:sz w:val="21"/>
          <w:szCs w:val="21"/>
          <w:lang w:eastAsia="en-US"/>
        </w:rPr>
      </w:pPr>
      <w:r>
        <w:rPr>
          <w:rFonts w:hint="eastAsia" w:eastAsia="宋体" w:cstheme="minorBidi"/>
          <w:kern w:val="0"/>
          <w:sz w:val="21"/>
          <w:szCs w:val="21"/>
          <w:lang w:val="en-US" w:eastAsia="zh-CN"/>
        </w:rPr>
        <w:t>RP-231490, Revised WID on Further RF requirements enhancement for NR and EN-DC in frequency range 1 (FR1), Huawei, HiSilicon, NTT DOCOMO.</w:t>
      </w:r>
    </w:p>
    <w:p>
      <w:pPr>
        <w:pStyle w:val="32"/>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p>
      <w:pPr>
        <w:pStyle w:val="32"/>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p>
      <w:pPr>
        <w:pStyle w:val="32"/>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bookmarkStart w:id="3" w:name="_GoBack"/>
      <w:bookmarkEnd w:id="3"/>
    </w:p>
    <w:p>
      <w:pPr>
        <w:pStyle w:val="32"/>
        <w:numPr>
          <w:ilvl w:val="0"/>
          <w:numId w:val="0"/>
        </w:numPr>
        <w:tabs>
          <w:tab w:val="left" w:pos="-420"/>
        </w:tabs>
        <w:spacing w:beforeLines="-2147483648" w:after="160" w:afterLines="-2147483648" w:line="259" w:lineRule="auto"/>
        <w:ind w:right="-22" w:rightChars="0"/>
        <w:contextualSpacing/>
        <w:jc w:val="left"/>
      </w:pPr>
    </w:p>
    <w:p>
      <w:pPr>
        <w:pStyle w:val="32"/>
        <w:numPr>
          <w:ilvl w:val="0"/>
          <w:numId w:val="0"/>
        </w:numPr>
        <w:tabs>
          <w:tab w:val="left" w:pos="-420"/>
        </w:tabs>
        <w:spacing w:beforeLines="-2147483648" w:after="160" w:afterLines="-2147483648" w:line="259" w:lineRule="auto"/>
        <w:ind w:right="-22" w:rightChars="0"/>
        <w:contextualSpacing/>
        <w:jc w:val="left"/>
      </w:pPr>
    </w:p>
    <w:p>
      <w:pPr>
        <w:pStyle w:val="32"/>
        <w:numPr>
          <w:ilvl w:val="0"/>
          <w:numId w:val="0"/>
        </w:numPr>
        <w:tabs>
          <w:tab w:val="left" w:pos="-420"/>
        </w:tabs>
        <w:spacing w:beforeLines="-2147483648" w:after="160" w:afterLines="-2147483648" w:line="259" w:lineRule="auto"/>
        <w:ind w:right="-22" w:rightChars="0"/>
        <w:contextualSpacing/>
        <w:jc w:val="left"/>
        <w:rPr>
          <w:rFonts w:hint="eastAsia"/>
          <w:lang w:eastAsia="en-US"/>
        </w:rPr>
      </w:pPr>
    </w:p>
    <w:p>
      <w:pPr>
        <w:pStyle w:val="32"/>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4</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05F1C8C"/>
    <w:multiLevelType w:val="multilevel"/>
    <w:tmpl w:val="505F1C8C"/>
    <w:lvl w:ilvl="0" w:tentative="0">
      <w:start w:val="1"/>
      <w:numFmt w:val="bullet"/>
      <w:lvlText w:val="•"/>
      <w:lvlJc w:val="left"/>
      <w:pPr>
        <w:tabs>
          <w:tab w:val="left" w:pos="360"/>
        </w:tabs>
        <w:ind w:left="360" w:hanging="360"/>
      </w:pPr>
      <w:rPr>
        <w:rFonts w:hint="default" w:ascii="Arial" w:hAnsi="Arial"/>
      </w:rPr>
    </w:lvl>
    <w:lvl w:ilvl="1" w:tentative="0">
      <w:start w:val="0"/>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Times New Roman" w:hAnsi="Times New Roman" w:eastAsia="Times New Roman" w:cs="Times New Roman"/>
        <w:b w:val="0"/>
        <w:i/>
        <w:iCs/>
        <w:strike w:val="0"/>
        <w:dstrike w:val="0"/>
        <w:color w:val="000000"/>
        <w:sz w:val="22"/>
        <w:szCs w:val="22"/>
        <w:u w:val="none" w:color="000000"/>
        <w:shd w:val="clear" w:color="auto" w:fill="auto"/>
        <w:vertAlign w:val="baseline"/>
      </w:rPr>
    </w:lvl>
    <w:lvl w:ilvl="3" w:tentative="0">
      <w:start w:val="1686"/>
      <w:numFmt w:val="bullet"/>
      <w:lvlText w:val="–"/>
      <w:lvlJc w:val="left"/>
      <w:pPr>
        <w:tabs>
          <w:tab w:val="left" w:pos="2520"/>
        </w:tabs>
        <w:ind w:left="2520" w:hanging="360"/>
      </w:pPr>
      <w:rPr>
        <w:rFonts w:hint="default" w:ascii="Arial" w:hAnsi="Arial"/>
      </w:rPr>
    </w:lvl>
    <w:lvl w:ilvl="4" w:tentative="0">
      <w:start w:val="1686"/>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B450D00"/>
    <w:multiLevelType w:val="multilevel"/>
    <w:tmpl w:val="7B450D00"/>
    <w:lvl w:ilvl="0" w:tentative="0">
      <w:start w:val="1"/>
      <w:numFmt w:val="bullet"/>
      <w:lvlText w:val=""/>
      <w:lvlJc w:val="left"/>
      <w:pPr>
        <w:ind w:left="420" w:hanging="420"/>
      </w:pPr>
      <w:rPr>
        <w:rFonts w:hint="default" w:ascii="Wingdings" w:hAnsi="Wingdings"/>
        <w:sz w:val="11"/>
        <w:szCs w:val="11"/>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5"/>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A5574"/>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026E3F"/>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31479"/>
    <w:rsid w:val="03445E8F"/>
    <w:rsid w:val="034D103F"/>
    <w:rsid w:val="035154D3"/>
    <w:rsid w:val="03527C38"/>
    <w:rsid w:val="035402E6"/>
    <w:rsid w:val="03561517"/>
    <w:rsid w:val="035672C1"/>
    <w:rsid w:val="0356746F"/>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03010"/>
    <w:rsid w:val="044C78D8"/>
    <w:rsid w:val="04537B11"/>
    <w:rsid w:val="04684A28"/>
    <w:rsid w:val="0476348C"/>
    <w:rsid w:val="04782230"/>
    <w:rsid w:val="0479507E"/>
    <w:rsid w:val="0482174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E96846"/>
    <w:rsid w:val="08FC0AA5"/>
    <w:rsid w:val="09291241"/>
    <w:rsid w:val="09306537"/>
    <w:rsid w:val="09355076"/>
    <w:rsid w:val="09392119"/>
    <w:rsid w:val="09445E95"/>
    <w:rsid w:val="09543B3B"/>
    <w:rsid w:val="09600FBD"/>
    <w:rsid w:val="0963672B"/>
    <w:rsid w:val="098143BC"/>
    <w:rsid w:val="099C685D"/>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0E500D"/>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1E5D62"/>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7369D"/>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009D7"/>
    <w:rsid w:val="1424615D"/>
    <w:rsid w:val="142C143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75C2"/>
    <w:rsid w:val="19394FD2"/>
    <w:rsid w:val="195F3A6C"/>
    <w:rsid w:val="19663168"/>
    <w:rsid w:val="19786B0A"/>
    <w:rsid w:val="199A2059"/>
    <w:rsid w:val="19AD210B"/>
    <w:rsid w:val="19AD5184"/>
    <w:rsid w:val="19B46E10"/>
    <w:rsid w:val="19C456C1"/>
    <w:rsid w:val="19D75435"/>
    <w:rsid w:val="19DD71E7"/>
    <w:rsid w:val="19F061A1"/>
    <w:rsid w:val="1A054259"/>
    <w:rsid w:val="1A081816"/>
    <w:rsid w:val="1A1322F5"/>
    <w:rsid w:val="1A165171"/>
    <w:rsid w:val="1A4858FF"/>
    <w:rsid w:val="1A4A7DEF"/>
    <w:rsid w:val="1A4C698A"/>
    <w:rsid w:val="1A5E4B5A"/>
    <w:rsid w:val="1A612F84"/>
    <w:rsid w:val="1A672B1C"/>
    <w:rsid w:val="1A826DFA"/>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2589C"/>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043D3"/>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1E6C5D"/>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EFB49EA"/>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71AFD"/>
    <w:rsid w:val="208F6BAF"/>
    <w:rsid w:val="20A462BA"/>
    <w:rsid w:val="20A976E7"/>
    <w:rsid w:val="20AD7399"/>
    <w:rsid w:val="20BF2AAC"/>
    <w:rsid w:val="20C849C7"/>
    <w:rsid w:val="20DF66D2"/>
    <w:rsid w:val="20EC3F2E"/>
    <w:rsid w:val="20EC7C3E"/>
    <w:rsid w:val="21050673"/>
    <w:rsid w:val="210548E9"/>
    <w:rsid w:val="21124D15"/>
    <w:rsid w:val="213E7119"/>
    <w:rsid w:val="21442A1B"/>
    <w:rsid w:val="21521454"/>
    <w:rsid w:val="21810744"/>
    <w:rsid w:val="218D6EF5"/>
    <w:rsid w:val="2195668B"/>
    <w:rsid w:val="21A130EA"/>
    <w:rsid w:val="21AD1197"/>
    <w:rsid w:val="21C267BF"/>
    <w:rsid w:val="21CB70A9"/>
    <w:rsid w:val="21CD6BCD"/>
    <w:rsid w:val="21CE6067"/>
    <w:rsid w:val="21CF439A"/>
    <w:rsid w:val="21D35770"/>
    <w:rsid w:val="21F00127"/>
    <w:rsid w:val="22045B97"/>
    <w:rsid w:val="22120B8F"/>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15DCE"/>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3071E"/>
    <w:rsid w:val="266506FC"/>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0657C3"/>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A834A4"/>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55BF6"/>
    <w:rsid w:val="2C591378"/>
    <w:rsid w:val="2C8F4862"/>
    <w:rsid w:val="2C9E5AC8"/>
    <w:rsid w:val="2CA2721B"/>
    <w:rsid w:val="2CB600FC"/>
    <w:rsid w:val="2CE512AC"/>
    <w:rsid w:val="2D026315"/>
    <w:rsid w:val="2D0764BD"/>
    <w:rsid w:val="2D0B3169"/>
    <w:rsid w:val="2D0D4219"/>
    <w:rsid w:val="2D153544"/>
    <w:rsid w:val="2D1B1BD8"/>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4809B3"/>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3C0560"/>
    <w:rsid w:val="374E78C1"/>
    <w:rsid w:val="3758590A"/>
    <w:rsid w:val="37602E60"/>
    <w:rsid w:val="378229A7"/>
    <w:rsid w:val="3784394E"/>
    <w:rsid w:val="37987437"/>
    <w:rsid w:val="37A21E38"/>
    <w:rsid w:val="37BB1155"/>
    <w:rsid w:val="37C94031"/>
    <w:rsid w:val="37CA042E"/>
    <w:rsid w:val="37D44549"/>
    <w:rsid w:val="37D77B09"/>
    <w:rsid w:val="37D97EDE"/>
    <w:rsid w:val="37E27510"/>
    <w:rsid w:val="380D7E8A"/>
    <w:rsid w:val="382B1BDF"/>
    <w:rsid w:val="382E392C"/>
    <w:rsid w:val="38342E90"/>
    <w:rsid w:val="38366E1A"/>
    <w:rsid w:val="383C6ED4"/>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04081"/>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9F33F8"/>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78211F"/>
    <w:rsid w:val="41A35744"/>
    <w:rsid w:val="41A65F04"/>
    <w:rsid w:val="41D75714"/>
    <w:rsid w:val="41DD3BC3"/>
    <w:rsid w:val="41DD7574"/>
    <w:rsid w:val="41EE2F03"/>
    <w:rsid w:val="41F466FD"/>
    <w:rsid w:val="42002BC7"/>
    <w:rsid w:val="42026B03"/>
    <w:rsid w:val="420D197F"/>
    <w:rsid w:val="42187EBE"/>
    <w:rsid w:val="421C3DAC"/>
    <w:rsid w:val="4227435A"/>
    <w:rsid w:val="42303B60"/>
    <w:rsid w:val="424B5824"/>
    <w:rsid w:val="426973AD"/>
    <w:rsid w:val="427A67A1"/>
    <w:rsid w:val="427E0B36"/>
    <w:rsid w:val="42874976"/>
    <w:rsid w:val="42A03D98"/>
    <w:rsid w:val="42B94BC1"/>
    <w:rsid w:val="42C30254"/>
    <w:rsid w:val="42C42A08"/>
    <w:rsid w:val="42D064B1"/>
    <w:rsid w:val="42D65389"/>
    <w:rsid w:val="42DE48A3"/>
    <w:rsid w:val="42E16058"/>
    <w:rsid w:val="42F17BF5"/>
    <w:rsid w:val="42F87EC9"/>
    <w:rsid w:val="42FA45BF"/>
    <w:rsid w:val="430E7E66"/>
    <w:rsid w:val="4332317A"/>
    <w:rsid w:val="433F6B54"/>
    <w:rsid w:val="4346543A"/>
    <w:rsid w:val="43494007"/>
    <w:rsid w:val="435B1259"/>
    <w:rsid w:val="436263D5"/>
    <w:rsid w:val="437556C4"/>
    <w:rsid w:val="43874CD4"/>
    <w:rsid w:val="439D51EA"/>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93C83"/>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110AB3"/>
    <w:rsid w:val="46143B66"/>
    <w:rsid w:val="46214325"/>
    <w:rsid w:val="462829D0"/>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AA6C7C"/>
    <w:rsid w:val="47C01792"/>
    <w:rsid w:val="47C1767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02087"/>
    <w:rsid w:val="48B116EA"/>
    <w:rsid w:val="48B74C7A"/>
    <w:rsid w:val="48BE32BF"/>
    <w:rsid w:val="48C354EC"/>
    <w:rsid w:val="48CB2583"/>
    <w:rsid w:val="48D429DD"/>
    <w:rsid w:val="48E01C77"/>
    <w:rsid w:val="48E22285"/>
    <w:rsid w:val="48E50D90"/>
    <w:rsid w:val="48EB14F1"/>
    <w:rsid w:val="48FA15CC"/>
    <w:rsid w:val="49002A7B"/>
    <w:rsid w:val="491B63DF"/>
    <w:rsid w:val="491D63E9"/>
    <w:rsid w:val="492A068A"/>
    <w:rsid w:val="4932285C"/>
    <w:rsid w:val="493E2F7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5A756D"/>
    <w:rsid w:val="4A5C0807"/>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8A25CC"/>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81419F"/>
    <w:rsid w:val="4C923A72"/>
    <w:rsid w:val="4C9E2807"/>
    <w:rsid w:val="4CB96B0F"/>
    <w:rsid w:val="4CC03E60"/>
    <w:rsid w:val="4CC42739"/>
    <w:rsid w:val="4CD315DD"/>
    <w:rsid w:val="4CDB409A"/>
    <w:rsid w:val="4CE34E9F"/>
    <w:rsid w:val="4CED698D"/>
    <w:rsid w:val="4CF52D94"/>
    <w:rsid w:val="4D43301D"/>
    <w:rsid w:val="4D462159"/>
    <w:rsid w:val="4D566017"/>
    <w:rsid w:val="4D7D3EFB"/>
    <w:rsid w:val="4D8B0123"/>
    <w:rsid w:val="4DAF14C5"/>
    <w:rsid w:val="4DB9067A"/>
    <w:rsid w:val="4DC605B6"/>
    <w:rsid w:val="4DD129F2"/>
    <w:rsid w:val="4DD732D2"/>
    <w:rsid w:val="4DDD4847"/>
    <w:rsid w:val="4DEC0985"/>
    <w:rsid w:val="4E015422"/>
    <w:rsid w:val="4E0538A3"/>
    <w:rsid w:val="4E0B2BF7"/>
    <w:rsid w:val="4E0E6818"/>
    <w:rsid w:val="4E156322"/>
    <w:rsid w:val="4E27683A"/>
    <w:rsid w:val="4E2A2F8F"/>
    <w:rsid w:val="4E4C50A3"/>
    <w:rsid w:val="4E510698"/>
    <w:rsid w:val="4E576363"/>
    <w:rsid w:val="4E635567"/>
    <w:rsid w:val="4E742982"/>
    <w:rsid w:val="4E9C0636"/>
    <w:rsid w:val="4EA30DB6"/>
    <w:rsid w:val="4EA413FE"/>
    <w:rsid w:val="4EA7341F"/>
    <w:rsid w:val="4EDB58B2"/>
    <w:rsid w:val="4EE925CE"/>
    <w:rsid w:val="4EEF2E30"/>
    <w:rsid w:val="4EF24828"/>
    <w:rsid w:val="4EFE7F59"/>
    <w:rsid w:val="4F285975"/>
    <w:rsid w:val="4F2A7BF3"/>
    <w:rsid w:val="4F2E2624"/>
    <w:rsid w:val="4F431C53"/>
    <w:rsid w:val="4F4A2FB1"/>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2A2789"/>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45246A"/>
    <w:rsid w:val="5A5663A3"/>
    <w:rsid w:val="5A571746"/>
    <w:rsid w:val="5A6253E3"/>
    <w:rsid w:val="5A8E6670"/>
    <w:rsid w:val="5A912613"/>
    <w:rsid w:val="5A9245E9"/>
    <w:rsid w:val="5A953D41"/>
    <w:rsid w:val="5AAC6EDC"/>
    <w:rsid w:val="5ABC50F4"/>
    <w:rsid w:val="5ACC4940"/>
    <w:rsid w:val="5AD86A6D"/>
    <w:rsid w:val="5AEC14F6"/>
    <w:rsid w:val="5AEC4B1F"/>
    <w:rsid w:val="5AF124A4"/>
    <w:rsid w:val="5AF55D01"/>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0B27C3"/>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8F3213"/>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215592"/>
    <w:rsid w:val="61421EFD"/>
    <w:rsid w:val="61594004"/>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013242"/>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9774D1"/>
    <w:rsid w:val="65AA6346"/>
    <w:rsid w:val="65B56C47"/>
    <w:rsid w:val="65B8262E"/>
    <w:rsid w:val="65BC15EE"/>
    <w:rsid w:val="65C74F5E"/>
    <w:rsid w:val="65D23D59"/>
    <w:rsid w:val="65D4773F"/>
    <w:rsid w:val="65D74D0A"/>
    <w:rsid w:val="65D82630"/>
    <w:rsid w:val="65DC5939"/>
    <w:rsid w:val="65DC7985"/>
    <w:rsid w:val="65F14641"/>
    <w:rsid w:val="65F5655C"/>
    <w:rsid w:val="65FF006B"/>
    <w:rsid w:val="66052F43"/>
    <w:rsid w:val="6609487E"/>
    <w:rsid w:val="660B75BD"/>
    <w:rsid w:val="6614592F"/>
    <w:rsid w:val="661D25CE"/>
    <w:rsid w:val="66206CF2"/>
    <w:rsid w:val="66265846"/>
    <w:rsid w:val="66287C9C"/>
    <w:rsid w:val="664805B8"/>
    <w:rsid w:val="665654C1"/>
    <w:rsid w:val="665B55EA"/>
    <w:rsid w:val="665B5C67"/>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8D049E"/>
    <w:rsid w:val="69AE1F57"/>
    <w:rsid w:val="69CC637E"/>
    <w:rsid w:val="69EE7649"/>
    <w:rsid w:val="69F0745A"/>
    <w:rsid w:val="6A1D59EC"/>
    <w:rsid w:val="6A247F72"/>
    <w:rsid w:val="6A276F94"/>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B2B0EFD"/>
    <w:rsid w:val="6B2C13E4"/>
    <w:rsid w:val="6B4B0A4C"/>
    <w:rsid w:val="6B50310B"/>
    <w:rsid w:val="6B5045E2"/>
    <w:rsid w:val="6B736A2E"/>
    <w:rsid w:val="6B753103"/>
    <w:rsid w:val="6B8170D6"/>
    <w:rsid w:val="6B884219"/>
    <w:rsid w:val="6B90781F"/>
    <w:rsid w:val="6B974370"/>
    <w:rsid w:val="6B9C76AD"/>
    <w:rsid w:val="6BA9194F"/>
    <w:rsid w:val="6BAC41DA"/>
    <w:rsid w:val="6BE727F5"/>
    <w:rsid w:val="6BF36ABE"/>
    <w:rsid w:val="6C240DF3"/>
    <w:rsid w:val="6C45610F"/>
    <w:rsid w:val="6C547243"/>
    <w:rsid w:val="6C59472D"/>
    <w:rsid w:val="6C5A4564"/>
    <w:rsid w:val="6C603744"/>
    <w:rsid w:val="6C637CCF"/>
    <w:rsid w:val="6C7802EB"/>
    <w:rsid w:val="6C79488C"/>
    <w:rsid w:val="6C89456C"/>
    <w:rsid w:val="6C9F70D8"/>
    <w:rsid w:val="6CA20D5B"/>
    <w:rsid w:val="6CA41AC3"/>
    <w:rsid w:val="6CA96D87"/>
    <w:rsid w:val="6CC14E69"/>
    <w:rsid w:val="6CD63FB3"/>
    <w:rsid w:val="6D056EA6"/>
    <w:rsid w:val="6D111038"/>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24DC5"/>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07071"/>
    <w:rsid w:val="71015D6B"/>
    <w:rsid w:val="71151975"/>
    <w:rsid w:val="7125366B"/>
    <w:rsid w:val="71336A65"/>
    <w:rsid w:val="71486F62"/>
    <w:rsid w:val="71511268"/>
    <w:rsid w:val="71545B37"/>
    <w:rsid w:val="71573E01"/>
    <w:rsid w:val="71702748"/>
    <w:rsid w:val="717F0007"/>
    <w:rsid w:val="71867894"/>
    <w:rsid w:val="719F7A78"/>
    <w:rsid w:val="71C7540C"/>
    <w:rsid w:val="71F64A63"/>
    <w:rsid w:val="71F870B8"/>
    <w:rsid w:val="72021233"/>
    <w:rsid w:val="720B2A1D"/>
    <w:rsid w:val="72174817"/>
    <w:rsid w:val="727C422C"/>
    <w:rsid w:val="7290742F"/>
    <w:rsid w:val="7292045A"/>
    <w:rsid w:val="72974DBE"/>
    <w:rsid w:val="72A20C20"/>
    <w:rsid w:val="72AC5E95"/>
    <w:rsid w:val="72C13ED7"/>
    <w:rsid w:val="72C82804"/>
    <w:rsid w:val="72CF1AC7"/>
    <w:rsid w:val="72E42AFA"/>
    <w:rsid w:val="72E85578"/>
    <w:rsid w:val="72EB270B"/>
    <w:rsid w:val="72EB4466"/>
    <w:rsid w:val="72EF17AC"/>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81437"/>
    <w:rsid w:val="73FF2D64"/>
    <w:rsid w:val="74137154"/>
    <w:rsid w:val="74236DD6"/>
    <w:rsid w:val="74257F79"/>
    <w:rsid w:val="74273820"/>
    <w:rsid w:val="7427471C"/>
    <w:rsid w:val="74355B0B"/>
    <w:rsid w:val="743C7157"/>
    <w:rsid w:val="74416F54"/>
    <w:rsid w:val="744B354F"/>
    <w:rsid w:val="7450294E"/>
    <w:rsid w:val="745A5543"/>
    <w:rsid w:val="74677EB2"/>
    <w:rsid w:val="746B732F"/>
    <w:rsid w:val="746E18CB"/>
    <w:rsid w:val="7476451A"/>
    <w:rsid w:val="748D52FA"/>
    <w:rsid w:val="748F1701"/>
    <w:rsid w:val="74993216"/>
    <w:rsid w:val="74B44784"/>
    <w:rsid w:val="74B808BF"/>
    <w:rsid w:val="74E06625"/>
    <w:rsid w:val="75084E8F"/>
    <w:rsid w:val="75202656"/>
    <w:rsid w:val="75752B04"/>
    <w:rsid w:val="75783839"/>
    <w:rsid w:val="758910BB"/>
    <w:rsid w:val="75955DA9"/>
    <w:rsid w:val="75977910"/>
    <w:rsid w:val="759F2A35"/>
    <w:rsid w:val="75A13B4C"/>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1F59B5"/>
    <w:rsid w:val="7833711D"/>
    <w:rsid w:val="78497C2E"/>
    <w:rsid w:val="7854087B"/>
    <w:rsid w:val="785D2223"/>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4B6CBA"/>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42B91"/>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8F34EA"/>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DF0AD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table" w:customStyle="1" w:styleId="76">
    <w:name w:val="网格型1"/>
    <w:qFormat/>
    <w:uiPriority w:val="39"/>
    <w:pPr>
      <w:spacing w:after="180"/>
    </w:pPr>
    <w:rPr>
      <w:rFonts w:ascii="Calibri" w:hAnsi="Calibri" w:eastAsia="Calibri Light"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26</TotalTime>
  <ScaleCrop>false</ScaleCrop>
  <LinksUpToDate>false</LinksUpToDate>
  <CharactersWithSpaces>8991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2023-08-11T01:10:44Z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